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9515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6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>/19</w:t>
      </w:r>
      <w:r w:rsidR="003558C1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145AF6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951597">
        <w:rPr>
          <w:rFonts w:ascii="Times New Roman" w:eastAsia="Times New Roman" w:hAnsi="Times New Roman" w:cs="Times New Roman"/>
          <w:sz w:val="24"/>
          <w:szCs w:val="24"/>
          <w:lang w:val="sr-Cyrl-CS"/>
        </w:rPr>
        <w:t>11.9.</w:t>
      </w:r>
      <w:r w:rsidR="00101FBA">
        <w:rPr>
          <w:rFonts w:ascii="Times New Roman" w:eastAsia="Times New Roman" w:hAnsi="Times New Roman" w:cs="Times New Roman"/>
          <w:sz w:val="24"/>
          <w:szCs w:val="24"/>
          <w:lang w:val="sr-Cyrl-CS"/>
        </w:rPr>
        <w:t>2019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692021" w:rsidRDefault="00692021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првој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951597">
        <w:rPr>
          <w:rFonts w:ascii="Times New Roman" w:eastAsia="Times New Roman" w:hAnsi="Times New Roman" w:cs="Times New Roman"/>
          <w:sz w:val="24"/>
          <w:szCs w:val="24"/>
          <w:lang w:val="sr-Cyrl-CS"/>
        </w:rPr>
        <w:t>11.9</w:t>
      </w:r>
      <w:r w:rsidR="00101FBA">
        <w:rPr>
          <w:rFonts w:ascii="Times New Roman" w:eastAsia="Times New Roman" w:hAnsi="Times New Roman" w:cs="Times New Roman"/>
          <w:sz w:val="24"/>
          <w:szCs w:val="24"/>
          <w:lang w:val="sr-Cyrl-CS"/>
        </w:rPr>
        <w:t>.2019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</w:t>
      </w:r>
      <w:r w:rsidR="00692021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</w:p>
    <w:p w:rsidR="003F6A7C" w:rsidRDefault="003F6A7C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F6A7C" w:rsidRDefault="003F6A7C" w:rsidP="003F6A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3F6A7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ОДЛУКУ</w:t>
      </w:r>
    </w:p>
    <w:p w:rsidR="003F6A7C" w:rsidRPr="003F6A7C" w:rsidRDefault="003F6A7C" w:rsidP="003F6A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1597" w:rsidRDefault="00951597" w:rsidP="009515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Усваја се текст шестомесечног извештаја о унутрашњој контроли финансијског пословања и гласи:</w:t>
      </w:r>
    </w:p>
    <w:p w:rsidR="00951597" w:rsidRPr="00303CD8" w:rsidRDefault="00951597" w:rsidP="009515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''</w:t>
      </w:r>
      <w:r w:rsidRPr="00303CD8">
        <w:rPr>
          <w:rFonts w:ascii="Times New Roman" w:hAnsi="Times New Roman" w:cs="Times New Roman"/>
          <w:sz w:val="24"/>
          <w:szCs w:val="24"/>
        </w:rPr>
        <w:t xml:space="preserve">На основу члана 37. ст.4. тач.9. Статута Коморе Јавних извршитеља, Надзорни одбор Извршном одбору подноси следећи: </w:t>
      </w:r>
    </w:p>
    <w:p w:rsidR="00951597" w:rsidRPr="00303CD8" w:rsidRDefault="00951597" w:rsidP="009515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3CD8">
        <w:rPr>
          <w:rFonts w:ascii="Times New Roman" w:hAnsi="Times New Roman" w:cs="Times New Roman"/>
          <w:sz w:val="24"/>
          <w:szCs w:val="24"/>
        </w:rPr>
        <w:t>ИЗВЕШТАЈ</w:t>
      </w:r>
    </w:p>
    <w:p w:rsidR="00951597" w:rsidRDefault="00951597" w:rsidP="009515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3CD8">
        <w:rPr>
          <w:rFonts w:ascii="Times New Roman" w:hAnsi="Times New Roman" w:cs="Times New Roman"/>
          <w:sz w:val="24"/>
          <w:szCs w:val="24"/>
        </w:rPr>
        <w:t>о унутрашњој контроли финансијског пословања Коморе</w:t>
      </w:r>
    </w:p>
    <w:p w:rsidR="00951597" w:rsidRPr="009330E2" w:rsidRDefault="00951597" w:rsidP="009515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1597" w:rsidRPr="00303CD8" w:rsidRDefault="00951597" w:rsidP="0095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D8">
        <w:rPr>
          <w:rFonts w:ascii="Times New Roman" w:hAnsi="Times New Roman" w:cs="Times New Roman"/>
          <w:sz w:val="24"/>
          <w:szCs w:val="24"/>
        </w:rPr>
        <w:t xml:space="preserve">Надзорни одбор је на седници одржаној </w:t>
      </w:r>
      <w:r>
        <w:rPr>
          <w:rFonts w:ascii="Times New Roman" w:hAnsi="Times New Roman" w:cs="Times New Roman"/>
          <w:sz w:val="24"/>
          <w:szCs w:val="24"/>
        </w:rPr>
        <w:t>16.9.2019.</w:t>
      </w:r>
      <w:r w:rsidRPr="00303CD8">
        <w:rPr>
          <w:rFonts w:ascii="Times New Roman" w:hAnsi="Times New Roman" w:cs="Times New Roman"/>
          <w:sz w:val="24"/>
          <w:szCs w:val="24"/>
        </w:rPr>
        <w:t xml:space="preserve"> године анализирао достављене </w:t>
      </w:r>
      <w:r>
        <w:rPr>
          <w:rFonts w:ascii="Times New Roman" w:hAnsi="Times New Roman" w:cs="Times New Roman"/>
          <w:sz w:val="24"/>
          <w:szCs w:val="24"/>
        </w:rPr>
        <w:t xml:space="preserve">финансијске </w:t>
      </w:r>
      <w:r w:rsidRPr="00303CD8">
        <w:rPr>
          <w:rFonts w:ascii="Times New Roman" w:hAnsi="Times New Roman" w:cs="Times New Roman"/>
          <w:sz w:val="24"/>
          <w:szCs w:val="24"/>
        </w:rPr>
        <w:t xml:space="preserve">податке </w:t>
      </w:r>
      <w:r>
        <w:rPr>
          <w:rFonts w:ascii="Times New Roman" w:hAnsi="Times New Roman" w:cs="Times New Roman"/>
          <w:sz w:val="24"/>
          <w:szCs w:val="24"/>
        </w:rPr>
        <w:t xml:space="preserve">Коморе јавних извршитеља </w:t>
      </w:r>
      <w:r w:rsidRPr="00303CD8">
        <w:rPr>
          <w:rFonts w:ascii="Times New Roman" w:hAnsi="Times New Roman" w:cs="Times New Roman"/>
          <w:sz w:val="24"/>
          <w:szCs w:val="24"/>
        </w:rPr>
        <w:t>за период: јануар-јун 2018. године.</w:t>
      </w:r>
    </w:p>
    <w:p w:rsidR="00951597" w:rsidRPr="00303CD8" w:rsidRDefault="00951597" w:rsidP="0095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597" w:rsidRPr="00303CD8" w:rsidRDefault="00951597" w:rsidP="0095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D8">
        <w:rPr>
          <w:rFonts w:ascii="Times New Roman" w:hAnsi="Times New Roman" w:cs="Times New Roman"/>
          <w:sz w:val="24"/>
          <w:szCs w:val="24"/>
        </w:rPr>
        <w:t>Контрола финансијског пословања Коморе јавних изв</w:t>
      </w:r>
      <w:r>
        <w:rPr>
          <w:rFonts w:ascii="Times New Roman" w:hAnsi="Times New Roman" w:cs="Times New Roman"/>
          <w:sz w:val="24"/>
          <w:szCs w:val="24"/>
        </w:rPr>
        <w:t>шитеља за период 01.01.-30.06.2</w:t>
      </w:r>
      <w:r w:rsidRPr="00303CD8">
        <w:rPr>
          <w:rFonts w:ascii="Times New Roman" w:hAnsi="Times New Roman" w:cs="Times New Roman"/>
          <w:sz w:val="24"/>
          <w:szCs w:val="24"/>
        </w:rPr>
        <w:t>019. године вршена је увидом у месечне извештаје о изврш</w:t>
      </w:r>
      <w:r>
        <w:rPr>
          <w:rFonts w:ascii="Times New Roman" w:hAnsi="Times New Roman" w:cs="Times New Roman"/>
          <w:sz w:val="24"/>
          <w:szCs w:val="24"/>
        </w:rPr>
        <w:t>ењу буџета К</w:t>
      </w:r>
      <w:r w:rsidRPr="00303CD8">
        <w:rPr>
          <w:rFonts w:ascii="Times New Roman" w:hAnsi="Times New Roman" w:cs="Times New Roman"/>
          <w:sz w:val="24"/>
          <w:szCs w:val="24"/>
        </w:rPr>
        <w:t xml:space="preserve">оморе које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03CD8">
        <w:rPr>
          <w:rFonts w:ascii="Times New Roman" w:hAnsi="Times New Roman" w:cs="Times New Roman"/>
          <w:sz w:val="24"/>
          <w:szCs w:val="24"/>
        </w:rPr>
        <w:t>адзорном одбору</w:t>
      </w:r>
      <w:r>
        <w:rPr>
          <w:rFonts w:ascii="Times New Roman" w:hAnsi="Times New Roman" w:cs="Times New Roman"/>
          <w:sz w:val="24"/>
          <w:szCs w:val="24"/>
        </w:rPr>
        <w:t xml:space="preserve"> доставља</w:t>
      </w:r>
      <w:r w:rsidRPr="00303CD8">
        <w:rPr>
          <w:rFonts w:ascii="Times New Roman" w:hAnsi="Times New Roman" w:cs="Times New Roman"/>
          <w:sz w:val="24"/>
          <w:szCs w:val="24"/>
        </w:rPr>
        <w:t xml:space="preserve"> стручна служба коморе</w:t>
      </w:r>
      <w:r>
        <w:rPr>
          <w:rFonts w:ascii="Times New Roman" w:hAnsi="Times New Roman" w:cs="Times New Roman"/>
          <w:sz w:val="24"/>
          <w:szCs w:val="24"/>
        </w:rPr>
        <w:t>, као</w:t>
      </w:r>
      <w:r w:rsidRPr="00303CD8">
        <w:rPr>
          <w:rFonts w:ascii="Times New Roman" w:hAnsi="Times New Roman" w:cs="Times New Roman"/>
          <w:sz w:val="24"/>
          <w:szCs w:val="24"/>
        </w:rPr>
        <w:t xml:space="preserve"> и увидом у достављену књиговодствену евиденцију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03CD8">
        <w:rPr>
          <w:rFonts w:ascii="Times New Roman" w:hAnsi="Times New Roman" w:cs="Times New Roman"/>
          <w:sz w:val="24"/>
          <w:szCs w:val="24"/>
        </w:rPr>
        <w:t>оморе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CD8">
        <w:rPr>
          <w:rFonts w:ascii="Times New Roman" w:hAnsi="Times New Roman" w:cs="Times New Roman"/>
          <w:sz w:val="24"/>
          <w:szCs w:val="24"/>
        </w:rPr>
        <w:t>сачињену од стране ангажоване књиговодствене агенције - преглед збирне главне књиге и аналитички закључни лист на дан 30.06.2019. године  и то:</w:t>
      </w:r>
    </w:p>
    <w:p w:rsidR="00951597" w:rsidRPr="00303CD8" w:rsidRDefault="00951597" w:rsidP="00951597">
      <w:pPr>
        <w:pStyle w:val="ListParagraph"/>
        <w:numPr>
          <w:ilvl w:val="0"/>
          <w:numId w:val="3"/>
        </w:numPr>
        <w:jc w:val="both"/>
      </w:pPr>
      <w:r w:rsidRPr="00303CD8">
        <w:t>преглед по контима групе - 6 приходи -</w:t>
      </w:r>
      <w:r>
        <w:t xml:space="preserve"> </w:t>
      </w:r>
      <w:r w:rsidRPr="00303CD8">
        <w:t>у оквиру ког су отоворени - конто 6030- приходи од пружања услуга у земљи ;  конто 63000</w:t>
      </w:r>
      <w:r>
        <w:t>- приходи од чланарина</w:t>
      </w:r>
      <w:r w:rsidRPr="00303CD8">
        <w:t>; конто 66100 приходи од камата; конто 66200 позитивне курсне разлике приликом плаћања и н</w:t>
      </w:r>
      <w:r>
        <w:t>аплате и конта 67900 остали не</w:t>
      </w:r>
      <w:r w:rsidRPr="00303CD8">
        <w:t xml:space="preserve">поменути приходи, основом чега се утврђује да је у књиговодственој евиденцији на конту - 6 приходи прокњижено укупно 13.636.176,48 динара остварених прихода по наведеним основама од чега је највећи део прихода остварен од чланарине и то у износу од 12.537.580,00 динара  </w:t>
      </w:r>
      <w:r>
        <w:t>за посматрани период;</w:t>
      </w:r>
    </w:p>
    <w:p w:rsidR="00951597" w:rsidRPr="00303CD8" w:rsidRDefault="00951597" w:rsidP="00951597">
      <w:pPr>
        <w:pStyle w:val="ListParagraph"/>
        <w:numPr>
          <w:ilvl w:val="0"/>
          <w:numId w:val="3"/>
        </w:numPr>
        <w:jc w:val="both"/>
      </w:pPr>
      <w:r w:rsidRPr="00303CD8">
        <w:lastRenderedPageBreak/>
        <w:t>преглед по контима групе 5 -  расходи у оквиру ког су отворени аналитички конти за расходе - укупно 40 аналитичких конта за различите врсте расхода а на којима је прокњижено укупно 9.556.540,22 динара на име</w:t>
      </w:r>
      <w:r>
        <w:t xml:space="preserve"> расхода К</w:t>
      </w:r>
      <w:r w:rsidRPr="00303CD8">
        <w:t>оморе од чега је највећа ставка р</w:t>
      </w:r>
      <w:r>
        <w:t>а</w:t>
      </w:r>
      <w:r w:rsidRPr="00303CD8">
        <w:t xml:space="preserve">схода по основу нето зарада у износу од 2.405.179,26 динара, затим трошкови угоститељских услуга у износу од 1.364.769,00 динара и трошкови доприноси из зарада и накнада зарада у износу од 668.547,68 динара . </w:t>
      </w:r>
    </w:p>
    <w:p w:rsidR="00951597" w:rsidRPr="00303CD8" w:rsidRDefault="00951597" w:rsidP="0095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597" w:rsidRPr="00303CD8" w:rsidRDefault="00951597" w:rsidP="0095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D8">
        <w:rPr>
          <w:rFonts w:ascii="Times New Roman" w:hAnsi="Times New Roman" w:cs="Times New Roman"/>
          <w:sz w:val="24"/>
          <w:szCs w:val="24"/>
        </w:rPr>
        <w:t>Што се тиче расхода на име угоститељских услуга у износу од 1.364.769,00 динара увидом у аналитичку картицу конта 55120 - угоститељске услуге, утврђено</w:t>
      </w:r>
      <w:r>
        <w:rPr>
          <w:rFonts w:ascii="Times New Roman" w:hAnsi="Times New Roman" w:cs="Times New Roman"/>
          <w:sz w:val="24"/>
          <w:szCs w:val="24"/>
        </w:rPr>
        <w:t xml:space="preserve"> је да се највећи део наведених</w:t>
      </w:r>
      <w:r w:rsidRPr="00303CD8">
        <w:rPr>
          <w:rFonts w:ascii="Times New Roman" w:hAnsi="Times New Roman" w:cs="Times New Roman"/>
          <w:sz w:val="24"/>
          <w:szCs w:val="24"/>
        </w:rPr>
        <w:t xml:space="preserve"> трошкова односе на угоститељске услуге поводом годишњег саветовања на Златибору, фудбалског турнира и поводом одржавања</w:t>
      </w:r>
      <w:r>
        <w:rPr>
          <w:rFonts w:ascii="Times New Roman" w:hAnsi="Times New Roman" w:cs="Times New Roman"/>
          <w:sz w:val="24"/>
          <w:szCs w:val="24"/>
        </w:rPr>
        <w:t xml:space="preserve"> округлог стола 31.05.2019. </w:t>
      </w:r>
      <w:r w:rsidRPr="00303CD8">
        <w:rPr>
          <w:rFonts w:ascii="Times New Roman" w:hAnsi="Times New Roman" w:cs="Times New Roman"/>
          <w:sz w:val="24"/>
          <w:szCs w:val="24"/>
        </w:rPr>
        <w:t xml:space="preserve"> године.</w:t>
      </w:r>
    </w:p>
    <w:p w:rsidR="00951597" w:rsidRPr="00303CD8" w:rsidRDefault="00951597" w:rsidP="0095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597" w:rsidRPr="00303CD8" w:rsidRDefault="00951597" w:rsidP="00951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CD8">
        <w:rPr>
          <w:rFonts w:ascii="Times New Roman" w:hAnsi="Times New Roman" w:cs="Times New Roman"/>
          <w:sz w:val="24"/>
          <w:szCs w:val="24"/>
        </w:rPr>
        <w:t xml:space="preserve">Надаље даје се преглед прилива и одлива новчаних средстава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03CD8">
        <w:rPr>
          <w:rFonts w:ascii="Times New Roman" w:hAnsi="Times New Roman" w:cs="Times New Roman"/>
          <w:sz w:val="24"/>
          <w:szCs w:val="24"/>
        </w:rPr>
        <w:t>оморе</w:t>
      </w:r>
      <w:r>
        <w:rPr>
          <w:rFonts w:ascii="Times New Roman" w:hAnsi="Times New Roman" w:cs="Times New Roman"/>
          <w:sz w:val="24"/>
          <w:szCs w:val="24"/>
        </w:rPr>
        <w:t>, односно и</w:t>
      </w:r>
      <w:r w:rsidRPr="00303CD8">
        <w:rPr>
          <w:rFonts w:ascii="Times New Roman" w:hAnsi="Times New Roman" w:cs="Times New Roman"/>
          <w:sz w:val="24"/>
          <w:szCs w:val="24"/>
        </w:rPr>
        <w:t>звештај о извршењу буџета коморе, а  према месечним извештајима који су достављени од стране стру</w:t>
      </w:r>
      <w:r>
        <w:rPr>
          <w:rFonts w:ascii="Times New Roman" w:hAnsi="Times New Roman" w:cs="Times New Roman"/>
          <w:sz w:val="24"/>
          <w:szCs w:val="24"/>
        </w:rPr>
        <w:t>чне службе К</w:t>
      </w:r>
      <w:r w:rsidRPr="00303CD8">
        <w:rPr>
          <w:rFonts w:ascii="Times New Roman" w:hAnsi="Times New Roman" w:cs="Times New Roman"/>
          <w:sz w:val="24"/>
          <w:szCs w:val="24"/>
        </w:rPr>
        <w:t>оморе:</w:t>
      </w:r>
    </w:p>
    <w:p w:rsidR="00951597" w:rsidRPr="00303CD8" w:rsidRDefault="00951597" w:rsidP="00951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597" w:rsidRPr="00303CD8" w:rsidRDefault="00951597" w:rsidP="00951597">
      <w:pPr>
        <w:rPr>
          <w:rFonts w:ascii="Times New Roman" w:hAnsi="Times New Roman" w:cs="Times New Roman"/>
          <w:sz w:val="24"/>
          <w:szCs w:val="24"/>
        </w:rPr>
      </w:pPr>
      <w:r w:rsidRPr="00303CD8">
        <w:rPr>
          <w:rFonts w:ascii="Times New Roman" w:hAnsi="Times New Roman" w:cs="Times New Roman"/>
          <w:sz w:val="24"/>
          <w:szCs w:val="24"/>
        </w:rPr>
        <w:t>Комора јавних извршитеља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Пројектовани приливи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Пројектовани одливи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Остварени приливи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Остварени одливи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Јануар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3.449.333,33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2.492.506,32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1.752.761,78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1.447.988,84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Фебруар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3.449.333,33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2.492.506,32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1.968.480,00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1.176.724,08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3.449.333,33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2.492.506,32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2.933.323,47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2.599.030,83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Април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3.449.333,33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2.492.506,32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2.435.637,00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1.240.847,45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Мај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3.449.333,33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2.492.506,32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2.437.970,00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1.034.297,16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Јун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3.449.333,33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2.492.506,32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2.218.551,23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1.829.643,58</w:t>
            </w:r>
          </w:p>
        </w:tc>
      </w:tr>
    </w:tbl>
    <w:p w:rsidR="00951597" w:rsidRPr="009330E2" w:rsidRDefault="00951597" w:rsidP="00951597">
      <w:pPr>
        <w:rPr>
          <w:rFonts w:ascii="Times New Roman" w:hAnsi="Times New Roman" w:cs="Times New Roman"/>
        </w:rPr>
      </w:pPr>
      <w:r w:rsidRPr="00303C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330E2">
        <w:rPr>
          <w:rFonts w:ascii="Times New Roman" w:hAnsi="Times New Roman" w:cs="Times New Roman"/>
        </w:rPr>
        <w:t>Свега: 13.746.723,48 дин.     9.328.531,94 дин.</w:t>
      </w:r>
    </w:p>
    <w:p w:rsidR="00951597" w:rsidRPr="00303CD8" w:rsidRDefault="00951597" w:rsidP="00951597">
      <w:pPr>
        <w:rPr>
          <w:rFonts w:ascii="Times New Roman" w:hAnsi="Times New Roman" w:cs="Times New Roman"/>
          <w:sz w:val="24"/>
          <w:szCs w:val="24"/>
        </w:rPr>
      </w:pPr>
      <w:r w:rsidRPr="00303CD8">
        <w:rPr>
          <w:rFonts w:ascii="Times New Roman" w:hAnsi="Times New Roman" w:cs="Times New Roman"/>
          <w:sz w:val="24"/>
          <w:szCs w:val="24"/>
        </w:rPr>
        <w:t>У наставку се даје преглед прихода и расхода организационих јединица коморе / који су садржани и евидентирани у оквиру прихода и расхода коморе /  и то:</w:t>
      </w:r>
    </w:p>
    <w:p w:rsidR="00951597" w:rsidRPr="00303CD8" w:rsidRDefault="00951597" w:rsidP="00951597">
      <w:pPr>
        <w:rPr>
          <w:rFonts w:ascii="Times New Roman" w:hAnsi="Times New Roman" w:cs="Times New Roman"/>
          <w:sz w:val="24"/>
          <w:szCs w:val="24"/>
        </w:rPr>
      </w:pPr>
      <w:r w:rsidRPr="00303CD8">
        <w:rPr>
          <w:rFonts w:ascii="Times New Roman" w:hAnsi="Times New Roman" w:cs="Times New Roman"/>
          <w:sz w:val="24"/>
          <w:szCs w:val="24"/>
        </w:rPr>
        <w:t>Организациона јединица коморе јавних извршитеља Београд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Пројектовани приливи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Пројктовани одливи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Остварени приливи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Остварени одливи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Јануар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Фебруар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Април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Мај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Јун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51597" w:rsidRPr="00303CD8" w:rsidRDefault="00951597" w:rsidP="00951597">
      <w:pPr>
        <w:rPr>
          <w:rFonts w:ascii="Times New Roman" w:hAnsi="Times New Roman" w:cs="Times New Roman"/>
          <w:sz w:val="24"/>
          <w:szCs w:val="24"/>
        </w:rPr>
      </w:pPr>
    </w:p>
    <w:p w:rsidR="00951597" w:rsidRPr="00303CD8" w:rsidRDefault="00951597" w:rsidP="00951597">
      <w:pPr>
        <w:rPr>
          <w:rFonts w:ascii="Times New Roman" w:hAnsi="Times New Roman" w:cs="Times New Roman"/>
          <w:sz w:val="24"/>
          <w:szCs w:val="24"/>
        </w:rPr>
      </w:pPr>
      <w:r w:rsidRPr="00303CD8">
        <w:rPr>
          <w:rFonts w:ascii="Times New Roman" w:hAnsi="Times New Roman" w:cs="Times New Roman"/>
          <w:sz w:val="24"/>
          <w:szCs w:val="24"/>
        </w:rPr>
        <w:t>Организациона јединица Нови Сад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Пројектовани приливи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Пројктовани одливи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Остварени приливи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Остварени одливи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Јануар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Фебруар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Април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Мај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31.890,00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Јун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51597" w:rsidRPr="00303CD8" w:rsidRDefault="00951597" w:rsidP="00951597">
      <w:pPr>
        <w:rPr>
          <w:rFonts w:ascii="Times New Roman" w:hAnsi="Times New Roman" w:cs="Times New Roman"/>
          <w:sz w:val="24"/>
          <w:szCs w:val="24"/>
        </w:rPr>
      </w:pPr>
    </w:p>
    <w:p w:rsidR="00951597" w:rsidRPr="00303CD8" w:rsidRDefault="00951597" w:rsidP="00951597">
      <w:pPr>
        <w:rPr>
          <w:rFonts w:ascii="Times New Roman" w:hAnsi="Times New Roman" w:cs="Times New Roman"/>
          <w:sz w:val="24"/>
          <w:szCs w:val="24"/>
        </w:rPr>
      </w:pPr>
      <w:r w:rsidRPr="00303CD8">
        <w:rPr>
          <w:rFonts w:ascii="Times New Roman" w:hAnsi="Times New Roman" w:cs="Times New Roman"/>
          <w:sz w:val="24"/>
          <w:szCs w:val="24"/>
        </w:rPr>
        <w:t>Организациона јединица Ниш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Пројектовани приливи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Пројктовани одливи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Остварени приливи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Остварени одливи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Јануар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Фебруар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12.145,00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Април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Мај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121.814,00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Јун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</w:tr>
    </w:tbl>
    <w:p w:rsidR="00951597" w:rsidRPr="00303CD8" w:rsidRDefault="00951597" w:rsidP="00951597">
      <w:pPr>
        <w:rPr>
          <w:rFonts w:ascii="Times New Roman" w:hAnsi="Times New Roman" w:cs="Times New Roman"/>
          <w:sz w:val="24"/>
          <w:szCs w:val="24"/>
        </w:rPr>
      </w:pPr>
    </w:p>
    <w:p w:rsidR="00951597" w:rsidRPr="00303CD8" w:rsidRDefault="00951597" w:rsidP="00951597">
      <w:pPr>
        <w:rPr>
          <w:rFonts w:ascii="Times New Roman" w:hAnsi="Times New Roman" w:cs="Times New Roman"/>
          <w:sz w:val="24"/>
          <w:szCs w:val="24"/>
        </w:rPr>
      </w:pPr>
      <w:r w:rsidRPr="00303CD8">
        <w:rPr>
          <w:rFonts w:ascii="Times New Roman" w:hAnsi="Times New Roman" w:cs="Times New Roman"/>
          <w:sz w:val="24"/>
          <w:szCs w:val="24"/>
        </w:rPr>
        <w:t>Организациона јединица Крагујевац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Пројектовани приливи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Пројктовани одливи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Остварени приливи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Остварени одливи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Јануар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Фебруар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Април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30.910,00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Мај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</w:tr>
      <w:tr w:rsidR="00951597" w:rsidRPr="00303CD8" w:rsidTr="001D32AD"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Јун 2019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</w:tcPr>
          <w:p w:rsidR="00951597" w:rsidRPr="00303CD8" w:rsidRDefault="00951597" w:rsidP="001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51597" w:rsidRPr="00303CD8" w:rsidRDefault="00951597" w:rsidP="00951597">
      <w:pPr>
        <w:rPr>
          <w:rFonts w:ascii="Times New Roman" w:hAnsi="Times New Roman" w:cs="Times New Roman"/>
          <w:sz w:val="24"/>
          <w:szCs w:val="24"/>
        </w:rPr>
      </w:pPr>
    </w:p>
    <w:p w:rsidR="00951597" w:rsidRDefault="00951597" w:rsidP="009515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утврђених прилива и одлива, достављене пратеће документације, к</w:t>
      </w:r>
      <w:r w:rsidRPr="00303CD8">
        <w:rPr>
          <w:rFonts w:ascii="Times New Roman" w:hAnsi="Times New Roman" w:cs="Times New Roman"/>
          <w:sz w:val="24"/>
          <w:szCs w:val="24"/>
        </w:rPr>
        <w:t xml:space="preserve">онтролом финансијског пословања утврђено је да се расходи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03CD8">
        <w:rPr>
          <w:rFonts w:ascii="Times New Roman" w:hAnsi="Times New Roman" w:cs="Times New Roman"/>
          <w:sz w:val="24"/>
          <w:szCs w:val="24"/>
        </w:rPr>
        <w:t xml:space="preserve">оморе </w:t>
      </w:r>
      <w:r>
        <w:rPr>
          <w:rFonts w:ascii="Times New Roman" w:hAnsi="Times New Roman" w:cs="Times New Roman"/>
          <w:sz w:val="24"/>
          <w:szCs w:val="24"/>
        </w:rPr>
        <w:t xml:space="preserve">јавних извршитеља </w:t>
      </w:r>
      <w:r w:rsidRPr="00303CD8">
        <w:rPr>
          <w:rFonts w:ascii="Times New Roman" w:hAnsi="Times New Roman" w:cs="Times New Roman"/>
          <w:sz w:val="24"/>
          <w:szCs w:val="24"/>
        </w:rPr>
        <w:t>крећу у границама расположивих прихода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1597" w:rsidRDefault="00951597" w:rsidP="009515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Приликом анализе овог Извештаја, Извршни одбор треба нарочито да има у виду остварење пројектованих буџетских циљева јер из истог произилази да је К</w:t>
      </w:r>
      <w:r w:rsidRPr="00303CD8">
        <w:rPr>
          <w:rFonts w:ascii="Times New Roman" w:hAnsi="Times New Roman" w:cs="Times New Roman"/>
          <w:sz w:val="24"/>
          <w:szCs w:val="24"/>
        </w:rPr>
        <w:t xml:space="preserve">омора </w:t>
      </w:r>
      <w:r>
        <w:rPr>
          <w:rFonts w:ascii="Times New Roman" w:hAnsi="Times New Roman" w:cs="Times New Roman"/>
          <w:sz w:val="24"/>
          <w:szCs w:val="24"/>
        </w:rPr>
        <w:t xml:space="preserve">јавних извршитеља </w:t>
      </w:r>
      <w:r w:rsidRPr="00303CD8">
        <w:rPr>
          <w:rFonts w:ascii="Times New Roman" w:hAnsi="Times New Roman" w:cs="Times New Roman"/>
          <w:sz w:val="24"/>
          <w:szCs w:val="24"/>
        </w:rPr>
        <w:t xml:space="preserve">остварила </w:t>
      </w:r>
      <w:r>
        <w:rPr>
          <w:rFonts w:ascii="Times New Roman" w:hAnsi="Times New Roman" w:cs="Times New Roman"/>
          <w:sz w:val="24"/>
          <w:szCs w:val="24"/>
        </w:rPr>
        <w:t xml:space="preserve">нешто </w:t>
      </w:r>
      <w:r w:rsidRPr="00303CD8">
        <w:rPr>
          <w:rFonts w:ascii="Times New Roman" w:hAnsi="Times New Roman" w:cs="Times New Roman"/>
          <w:sz w:val="24"/>
          <w:szCs w:val="24"/>
        </w:rPr>
        <w:t xml:space="preserve">мањи </w:t>
      </w:r>
      <w:r>
        <w:rPr>
          <w:rFonts w:ascii="Times New Roman" w:hAnsi="Times New Roman" w:cs="Times New Roman"/>
          <w:sz w:val="24"/>
          <w:szCs w:val="24"/>
        </w:rPr>
        <w:t xml:space="preserve">износ прихода од пројектованих буџетом уколико се као меродавни критеријум узме процењени месечни прилив у односу на очекивани годишњи. </w:t>
      </w:r>
    </w:p>
    <w:p w:rsidR="00951597" w:rsidRPr="003F6A7C" w:rsidRDefault="00951597" w:rsidP="00951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Надзорни одбор, приликом контроле, није утврдио да је било ненаменског трошења средстава са рачуна Коморе јавних извршитеља.</w:t>
      </w:r>
      <w:r w:rsidR="003F6A7C">
        <w:rPr>
          <w:rFonts w:ascii="Times New Roman" w:hAnsi="Times New Roman" w:cs="Times New Roman"/>
          <w:sz w:val="24"/>
          <w:szCs w:val="24"/>
          <w:lang w:val="sr-Cyrl-RS"/>
        </w:rPr>
        <w:t>“</w:t>
      </w:r>
      <w:bookmarkStart w:id="0" w:name="_GoBack"/>
      <w:bookmarkEnd w:id="0"/>
    </w:p>
    <w:p w:rsidR="00692021" w:rsidRPr="00951597" w:rsidRDefault="00692021" w:rsidP="006920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FF1385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42" w:rsidRDefault="00A11C42" w:rsidP="00AC23DF">
      <w:pPr>
        <w:spacing w:after="0" w:line="240" w:lineRule="auto"/>
      </w:pPr>
      <w:r>
        <w:separator/>
      </w:r>
    </w:p>
  </w:endnote>
  <w:endnote w:type="continuationSeparator" w:id="0">
    <w:p w:rsidR="00A11C42" w:rsidRDefault="00A11C42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42" w:rsidRDefault="00A11C42" w:rsidP="00AC23DF">
      <w:pPr>
        <w:spacing w:after="0" w:line="240" w:lineRule="auto"/>
      </w:pPr>
      <w:r>
        <w:separator/>
      </w:r>
    </w:p>
  </w:footnote>
  <w:footnote w:type="continuationSeparator" w:id="0">
    <w:p w:rsidR="00A11C42" w:rsidRDefault="00A11C42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27B2A"/>
    <w:multiLevelType w:val="hybridMultilevel"/>
    <w:tmpl w:val="AB80D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1FBA"/>
    <w:rsid w:val="00104211"/>
    <w:rsid w:val="0011182C"/>
    <w:rsid w:val="00145AF6"/>
    <w:rsid w:val="00156A99"/>
    <w:rsid w:val="0018187E"/>
    <w:rsid w:val="00197449"/>
    <w:rsid w:val="00197808"/>
    <w:rsid w:val="001A2C89"/>
    <w:rsid w:val="001B2BC2"/>
    <w:rsid w:val="001C66A0"/>
    <w:rsid w:val="001F0F79"/>
    <w:rsid w:val="0021482F"/>
    <w:rsid w:val="00262195"/>
    <w:rsid w:val="00271E4F"/>
    <w:rsid w:val="002936A3"/>
    <w:rsid w:val="002E0496"/>
    <w:rsid w:val="003558C1"/>
    <w:rsid w:val="0038661C"/>
    <w:rsid w:val="00393ACA"/>
    <w:rsid w:val="003C7E4A"/>
    <w:rsid w:val="003D0433"/>
    <w:rsid w:val="003E542D"/>
    <w:rsid w:val="003E580B"/>
    <w:rsid w:val="003F6A7C"/>
    <w:rsid w:val="004410E8"/>
    <w:rsid w:val="00443B10"/>
    <w:rsid w:val="004503AC"/>
    <w:rsid w:val="004512A8"/>
    <w:rsid w:val="00462349"/>
    <w:rsid w:val="004E35BB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E1BE8"/>
    <w:rsid w:val="005E4744"/>
    <w:rsid w:val="00603C1D"/>
    <w:rsid w:val="00690CD3"/>
    <w:rsid w:val="00692021"/>
    <w:rsid w:val="006D261B"/>
    <w:rsid w:val="006F68C7"/>
    <w:rsid w:val="00705868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53B3A"/>
    <w:rsid w:val="00871467"/>
    <w:rsid w:val="00894B71"/>
    <w:rsid w:val="008C6C80"/>
    <w:rsid w:val="008C7314"/>
    <w:rsid w:val="008E44D5"/>
    <w:rsid w:val="00923B4A"/>
    <w:rsid w:val="00947E83"/>
    <w:rsid w:val="00951597"/>
    <w:rsid w:val="00976BB7"/>
    <w:rsid w:val="00984E52"/>
    <w:rsid w:val="009900F6"/>
    <w:rsid w:val="009C3D48"/>
    <w:rsid w:val="009D7759"/>
    <w:rsid w:val="009E50A9"/>
    <w:rsid w:val="009E6864"/>
    <w:rsid w:val="00A05DBA"/>
    <w:rsid w:val="00A11C42"/>
    <w:rsid w:val="00A15402"/>
    <w:rsid w:val="00A6690C"/>
    <w:rsid w:val="00AC23DF"/>
    <w:rsid w:val="00AC2E49"/>
    <w:rsid w:val="00AE09AD"/>
    <w:rsid w:val="00AF1470"/>
    <w:rsid w:val="00AF6430"/>
    <w:rsid w:val="00B11231"/>
    <w:rsid w:val="00B12B7A"/>
    <w:rsid w:val="00B566A3"/>
    <w:rsid w:val="00B714A1"/>
    <w:rsid w:val="00B90608"/>
    <w:rsid w:val="00BC57EA"/>
    <w:rsid w:val="00BC5E15"/>
    <w:rsid w:val="00BD232A"/>
    <w:rsid w:val="00BE58D7"/>
    <w:rsid w:val="00BF5BCD"/>
    <w:rsid w:val="00C46925"/>
    <w:rsid w:val="00CA640E"/>
    <w:rsid w:val="00CD3D45"/>
    <w:rsid w:val="00CD4613"/>
    <w:rsid w:val="00CE13C0"/>
    <w:rsid w:val="00CE3D9C"/>
    <w:rsid w:val="00D03F07"/>
    <w:rsid w:val="00D050FC"/>
    <w:rsid w:val="00D124E9"/>
    <w:rsid w:val="00D30E4B"/>
    <w:rsid w:val="00D534F1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850A0"/>
    <w:rsid w:val="00FA0B0B"/>
    <w:rsid w:val="00FA4D81"/>
    <w:rsid w:val="00FC6F63"/>
    <w:rsid w:val="00FD457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uiPriority w:val="34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  <w:style w:type="table" w:styleId="TableGrid">
    <w:name w:val="Table Grid"/>
    <w:basedOn w:val="TableNormal"/>
    <w:uiPriority w:val="59"/>
    <w:rsid w:val="00951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uiPriority w:val="34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  <w:style w:type="table" w:styleId="TableGrid">
    <w:name w:val="Table Grid"/>
    <w:basedOn w:val="TableNormal"/>
    <w:uiPriority w:val="59"/>
    <w:rsid w:val="00951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44E11-7CF3-496C-84D6-B41D8735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3</cp:revision>
  <cp:lastPrinted>2017-05-18T16:47:00Z</cp:lastPrinted>
  <dcterms:created xsi:type="dcterms:W3CDTF">2019-09-19T08:39:00Z</dcterms:created>
  <dcterms:modified xsi:type="dcterms:W3CDTF">2019-09-19T08:40:00Z</dcterms:modified>
</cp:coreProperties>
</file>